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62EE3" w14:textId="77777777" w:rsidR="007158DA" w:rsidRDefault="007158DA">
      <w:pPr>
        <w:spacing w:after="60"/>
        <w:jc w:val="center"/>
        <w:rPr>
          <w:rFonts w:ascii="Times" w:eastAsia="Times" w:hAnsi="Times" w:cs="Times"/>
          <w:b/>
          <w:sz w:val="40"/>
          <w:szCs w:val="40"/>
        </w:rPr>
      </w:pPr>
      <w:bookmarkStart w:id="0" w:name="_GoBack"/>
      <w:bookmarkEnd w:id="0"/>
    </w:p>
    <w:p w14:paraId="55B1A41D" w14:textId="77777777" w:rsidR="007158DA" w:rsidRDefault="00B32EC7">
      <w:pPr>
        <w:spacing w:after="60"/>
        <w:jc w:val="center"/>
        <w:rPr>
          <w:rFonts w:ascii="Times" w:eastAsia="Times" w:hAnsi="Times" w:cs="Times"/>
          <w:b/>
          <w:sz w:val="40"/>
          <w:szCs w:val="40"/>
        </w:rPr>
      </w:pPr>
      <w:r>
        <w:rPr>
          <w:rFonts w:ascii="Times" w:eastAsia="Times" w:hAnsi="Times" w:cs="Times"/>
          <w:b/>
          <w:sz w:val="40"/>
          <w:szCs w:val="40"/>
        </w:rPr>
        <w:t>RSO Event Funding Requests – Umbrella Funds</w:t>
      </w:r>
    </w:p>
    <w:p w14:paraId="1AF1CAB9" w14:textId="77777777" w:rsidR="007158DA" w:rsidRDefault="007158DA">
      <w:pPr>
        <w:spacing w:after="60"/>
        <w:rPr>
          <w:rFonts w:ascii="Times" w:eastAsia="Times" w:hAnsi="Times" w:cs="Times"/>
        </w:rPr>
      </w:pPr>
      <w:bookmarkStart w:id="1" w:name="_gjdgxs" w:colFirst="0" w:colLast="0"/>
      <w:bookmarkEnd w:id="1"/>
    </w:p>
    <w:p w14:paraId="48FADB0C" w14:textId="77777777" w:rsidR="007158DA" w:rsidRDefault="00B32EC7">
      <w:pPr>
        <w:spacing w:after="60"/>
        <w:rPr>
          <w:rFonts w:ascii="Times" w:eastAsia="Times" w:hAnsi="Times" w:cs="Times"/>
          <w:color w:val="FF0000"/>
        </w:rPr>
      </w:pPr>
      <w:r>
        <w:rPr>
          <w:rFonts w:ascii="Times" w:eastAsia="Times" w:hAnsi="Times" w:cs="Times"/>
          <w:color w:val="FF0000"/>
        </w:rPr>
        <w:t>This template is not meant to be used without customization. Anything underlined in red is recommended for you to change to fit your Umbrella Organization. Some details will pertain to whether you access GSG directly for Umbrella Funds (in which case you w</w:t>
      </w:r>
      <w:r>
        <w:rPr>
          <w:rFonts w:ascii="Times" w:eastAsia="Times" w:hAnsi="Times" w:cs="Times"/>
          <w:color w:val="FF0000"/>
        </w:rPr>
        <w:t>ill need to take our deadlines into consideration) or whether you are part of the UFDP, in which case your department and Umbrella officers impact processing time. Details also depend upon your regular meetings, your officers’ roles, and whether you want p</w:t>
      </w:r>
      <w:r>
        <w:rPr>
          <w:rFonts w:ascii="Times" w:eastAsia="Times" w:hAnsi="Times" w:cs="Times"/>
          <w:color w:val="FF0000"/>
        </w:rPr>
        <w:t xml:space="preserve">aper or online submissions (you can always adapt this for download or for Google Forms). You can of course add and remove other aspects of this form which are not in red at your discretion. </w:t>
      </w:r>
    </w:p>
    <w:p w14:paraId="5AB22BE8" w14:textId="77777777" w:rsidR="007158DA" w:rsidRDefault="007158DA">
      <w:pPr>
        <w:spacing w:after="60"/>
        <w:rPr>
          <w:rFonts w:ascii="Times" w:eastAsia="Times" w:hAnsi="Times" w:cs="Times"/>
          <w:color w:val="FF0000"/>
        </w:rPr>
      </w:pPr>
    </w:p>
    <w:p w14:paraId="004B473D" w14:textId="77777777" w:rsidR="007158DA" w:rsidRDefault="00B32EC7">
      <w:pPr>
        <w:spacing w:after="60"/>
        <w:rPr>
          <w:rFonts w:ascii="Times" w:eastAsia="Times" w:hAnsi="Times" w:cs="Times"/>
          <w:color w:val="FF0000"/>
        </w:rPr>
      </w:pPr>
      <w:r>
        <w:rPr>
          <w:rFonts w:ascii="Times" w:eastAsia="Times" w:hAnsi="Times" w:cs="Times"/>
          <w:color w:val="FF0000"/>
        </w:rPr>
        <w:t xml:space="preserve">Please contact </w:t>
      </w:r>
      <w:hyperlink r:id="rId7">
        <w:r>
          <w:rPr>
            <w:rFonts w:ascii="Times" w:eastAsia="Times" w:hAnsi="Times" w:cs="Times"/>
            <w:color w:val="FF0000"/>
            <w:u w:val="single"/>
          </w:rPr>
          <w:t>gsgfin</w:t>
        </w:r>
        <w:r>
          <w:rPr>
            <w:rFonts w:ascii="Times" w:eastAsia="Times" w:hAnsi="Times" w:cs="Times"/>
            <w:color w:val="FF0000"/>
            <w:u w:val="single"/>
          </w:rPr>
          <w:t>ea@usc.edu</w:t>
        </w:r>
      </w:hyperlink>
      <w:r>
        <w:rPr>
          <w:rFonts w:ascii="Times" w:eastAsia="Times" w:hAnsi="Times" w:cs="Times"/>
          <w:color w:val="FF0000"/>
        </w:rPr>
        <w:t xml:space="preserve"> with any questions.</w:t>
      </w:r>
    </w:p>
    <w:p w14:paraId="62F8AE79" w14:textId="77777777" w:rsidR="007158DA" w:rsidRDefault="007158DA">
      <w:pPr>
        <w:spacing w:after="60"/>
        <w:rPr>
          <w:rFonts w:ascii="Times" w:eastAsia="Times" w:hAnsi="Times" w:cs="Times"/>
          <w:b/>
          <w:sz w:val="30"/>
          <w:szCs w:val="30"/>
        </w:rPr>
      </w:pPr>
    </w:p>
    <w:p w14:paraId="794A4474" w14:textId="77777777" w:rsidR="007158DA" w:rsidRDefault="00B32EC7">
      <w:pPr>
        <w:spacing w:after="60"/>
        <w:rPr>
          <w:rFonts w:ascii="Times" w:eastAsia="Times" w:hAnsi="Times" w:cs="Times"/>
          <w:b/>
          <w:sz w:val="30"/>
          <w:szCs w:val="30"/>
        </w:rPr>
      </w:pPr>
      <w:r>
        <w:rPr>
          <w:rFonts w:ascii="Times" w:eastAsia="Times" w:hAnsi="Times" w:cs="Times"/>
          <w:b/>
          <w:sz w:val="30"/>
          <w:szCs w:val="30"/>
        </w:rPr>
        <w:t>Application Guidelines</w:t>
      </w:r>
    </w:p>
    <w:p w14:paraId="3130FEF7" w14:textId="77777777" w:rsidR="007158DA" w:rsidRDefault="00B32EC7">
      <w:pPr>
        <w:spacing w:after="60"/>
        <w:rPr>
          <w:rFonts w:ascii="Times" w:eastAsia="Times" w:hAnsi="Times" w:cs="Times"/>
        </w:rPr>
      </w:pPr>
      <w:r>
        <w:rPr>
          <w:rFonts w:ascii="Times" w:eastAsia="Times" w:hAnsi="Times" w:cs="Times"/>
        </w:rPr>
        <w:t xml:space="preserve">These guidelines are only for events that are not considered to be joint events with </w:t>
      </w:r>
      <w:r>
        <w:rPr>
          <w:rFonts w:ascii="Times" w:eastAsia="Times" w:hAnsi="Times" w:cs="Times"/>
          <w:color w:val="FF0000"/>
          <w:u w:val="single"/>
        </w:rPr>
        <w:t>Insert Umbrella Here</w:t>
      </w:r>
      <w:r>
        <w:rPr>
          <w:rFonts w:ascii="Times" w:eastAsia="Times" w:hAnsi="Times" w:cs="Times"/>
        </w:rPr>
        <w:t>.</w:t>
      </w:r>
    </w:p>
    <w:p w14:paraId="3FB22811" w14:textId="77777777" w:rsidR="007158DA" w:rsidRDefault="00B32EC7">
      <w:pPr>
        <w:numPr>
          <w:ilvl w:val="0"/>
          <w:numId w:val="4"/>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All applications must comply with University Policies, GSG Finance Policies, as well as </w:t>
      </w:r>
      <w:r>
        <w:rPr>
          <w:rFonts w:ascii="Times" w:eastAsia="Times" w:hAnsi="Times" w:cs="Times"/>
          <w:color w:val="FF0000"/>
          <w:u w:val="single"/>
        </w:rPr>
        <w:t>Umbrel</w:t>
      </w:r>
      <w:r>
        <w:rPr>
          <w:rFonts w:ascii="Times" w:eastAsia="Times" w:hAnsi="Times" w:cs="Times"/>
          <w:color w:val="FF0000"/>
          <w:u w:val="single"/>
        </w:rPr>
        <w:t>la</w:t>
      </w:r>
      <w:r>
        <w:rPr>
          <w:rFonts w:ascii="Times" w:eastAsia="Times" w:hAnsi="Times" w:cs="Times"/>
          <w:color w:val="000000"/>
        </w:rPr>
        <w:t>-specific guidelines;</w:t>
      </w:r>
    </w:p>
    <w:p w14:paraId="30B7E1F4" w14:textId="77777777" w:rsidR="007158DA" w:rsidRDefault="00B32EC7">
      <w:pPr>
        <w:numPr>
          <w:ilvl w:val="0"/>
          <w:numId w:val="4"/>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They organization applying must be an official Recognized Student Organization (RSO);</w:t>
      </w:r>
    </w:p>
    <w:p w14:paraId="196415F3" w14:textId="77777777" w:rsidR="007158DA" w:rsidRDefault="00B32EC7">
      <w:pPr>
        <w:numPr>
          <w:ilvl w:val="0"/>
          <w:numId w:val="4"/>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The applying RSO must be related to </w:t>
      </w:r>
      <w:r>
        <w:rPr>
          <w:rFonts w:ascii="Times" w:eastAsia="Times" w:hAnsi="Times" w:cs="Times"/>
          <w:color w:val="FF0000"/>
          <w:u w:val="single"/>
        </w:rPr>
        <w:t xml:space="preserve">Umbrella </w:t>
      </w:r>
      <w:r>
        <w:rPr>
          <w:rFonts w:ascii="Times" w:eastAsia="Times" w:hAnsi="Times" w:cs="Times"/>
          <w:color w:val="000000"/>
        </w:rPr>
        <w:t xml:space="preserve">or must indicate that at least </w:t>
      </w:r>
      <w:r>
        <w:rPr>
          <w:rFonts w:ascii="Times" w:eastAsia="Times" w:hAnsi="Times" w:cs="Times"/>
          <w:color w:val="FF0000"/>
          <w:u w:val="single"/>
        </w:rPr>
        <w:t>50%</w:t>
      </w:r>
      <w:r>
        <w:rPr>
          <w:rFonts w:ascii="Times" w:eastAsia="Times" w:hAnsi="Times" w:cs="Times"/>
          <w:color w:val="000000"/>
        </w:rPr>
        <w:t xml:space="preserve"> of the attendees of the event will be fee-paying graduate students represented by </w:t>
      </w:r>
      <w:r>
        <w:rPr>
          <w:rFonts w:ascii="Times" w:eastAsia="Times" w:hAnsi="Times" w:cs="Times"/>
          <w:color w:val="FF0000"/>
          <w:u w:val="single"/>
        </w:rPr>
        <w:t>Umbrella</w:t>
      </w:r>
      <w:r>
        <w:rPr>
          <w:rFonts w:ascii="Times" w:eastAsia="Times" w:hAnsi="Times" w:cs="Times"/>
          <w:color w:val="000000"/>
          <w:u w:val="single"/>
        </w:rPr>
        <w:t>;</w:t>
      </w:r>
    </w:p>
    <w:p w14:paraId="2FAAC99E" w14:textId="77777777" w:rsidR="007158DA" w:rsidRDefault="00B32EC7">
      <w:pPr>
        <w:numPr>
          <w:ilvl w:val="0"/>
          <w:numId w:val="4"/>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The event shall be accessible and free of charge to all graduate students related to </w:t>
      </w:r>
      <w:r>
        <w:rPr>
          <w:rFonts w:ascii="Times" w:eastAsia="Times" w:hAnsi="Times" w:cs="Times"/>
          <w:color w:val="FF0000"/>
          <w:u w:val="single"/>
        </w:rPr>
        <w:t>Umbrella</w:t>
      </w:r>
      <w:r>
        <w:rPr>
          <w:rFonts w:ascii="Times" w:eastAsia="Times" w:hAnsi="Times" w:cs="Times"/>
          <w:color w:val="000000"/>
        </w:rPr>
        <w:t>;</w:t>
      </w:r>
    </w:p>
    <w:p w14:paraId="46059108" w14:textId="77777777" w:rsidR="007158DA" w:rsidRDefault="00B32EC7">
      <w:pPr>
        <w:numPr>
          <w:ilvl w:val="0"/>
          <w:numId w:val="4"/>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The Executive Board’s decision of whether to approve the application</w:t>
      </w:r>
      <w:r>
        <w:rPr>
          <w:rFonts w:ascii="Times" w:eastAsia="Times" w:hAnsi="Times" w:cs="Times"/>
          <w:color w:val="000000"/>
        </w:rPr>
        <w:t xml:space="preserve"> is final and non-negotiable;</w:t>
      </w:r>
    </w:p>
    <w:p w14:paraId="5E99C98E" w14:textId="77777777" w:rsidR="007158DA" w:rsidRDefault="00B32EC7">
      <w:pPr>
        <w:numPr>
          <w:ilvl w:val="0"/>
          <w:numId w:val="4"/>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Durable goods that are not treated as prizes or giveaways (e.g., appliances, tools, furniture, clothing) shall not be funded.</w:t>
      </w:r>
    </w:p>
    <w:p w14:paraId="4CD62AC5" w14:textId="77777777" w:rsidR="007158DA" w:rsidRDefault="007158DA">
      <w:pPr>
        <w:spacing w:after="60"/>
        <w:rPr>
          <w:rFonts w:ascii="Times" w:eastAsia="Times" w:hAnsi="Times" w:cs="Times"/>
        </w:rPr>
      </w:pPr>
    </w:p>
    <w:p w14:paraId="4F33ADC5" w14:textId="77777777" w:rsidR="007158DA" w:rsidRDefault="00B32EC7">
      <w:pPr>
        <w:spacing w:after="60"/>
        <w:rPr>
          <w:rFonts w:ascii="Times" w:eastAsia="Times" w:hAnsi="Times" w:cs="Times"/>
          <w:b/>
          <w:sz w:val="30"/>
          <w:szCs w:val="30"/>
        </w:rPr>
      </w:pPr>
      <w:r>
        <w:rPr>
          <w:rFonts w:ascii="Times" w:eastAsia="Times" w:hAnsi="Times" w:cs="Times"/>
          <w:b/>
          <w:sz w:val="30"/>
          <w:szCs w:val="30"/>
        </w:rPr>
        <w:t>Application Procedure</w:t>
      </w:r>
    </w:p>
    <w:p w14:paraId="0C9E2F1E" w14:textId="77777777" w:rsidR="007158DA" w:rsidRDefault="00B32EC7">
      <w:pPr>
        <w:numPr>
          <w:ilvl w:val="0"/>
          <w:numId w:val="2"/>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Applicant must submit </w:t>
      </w:r>
      <w:r>
        <w:rPr>
          <w:rFonts w:ascii="Times" w:eastAsia="Times" w:hAnsi="Times" w:cs="Times"/>
          <w:color w:val="FF0000"/>
          <w:u w:val="single"/>
        </w:rPr>
        <w:t>online</w:t>
      </w:r>
      <w:r>
        <w:rPr>
          <w:rFonts w:ascii="Times" w:eastAsia="Times" w:hAnsi="Times" w:cs="Times"/>
          <w:color w:val="FF0000"/>
        </w:rPr>
        <w:t xml:space="preserve"> </w:t>
      </w:r>
      <w:r>
        <w:rPr>
          <w:rFonts w:ascii="Times" w:eastAsia="Times" w:hAnsi="Times" w:cs="Times"/>
          <w:color w:val="000000"/>
        </w:rPr>
        <w:t xml:space="preserve">funding application at least </w:t>
      </w:r>
      <w:r>
        <w:rPr>
          <w:rFonts w:ascii="Times" w:eastAsia="Times" w:hAnsi="Times" w:cs="Times"/>
          <w:color w:val="FF0000"/>
          <w:u w:val="single"/>
        </w:rPr>
        <w:t>6</w:t>
      </w:r>
      <w:r>
        <w:rPr>
          <w:rFonts w:ascii="Times" w:eastAsia="Times" w:hAnsi="Times" w:cs="Times"/>
          <w:color w:val="FF0000"/>
          <w:u w:val="single"/>
        </w:rPr>
        <w:t xml:space="preserve"> weeks prior</w:t>
      </w:r>
      <w:r>
        <w:rPr>
          <w:rFonts w:ascii="Times" w:eastAsia="Times" w:hAnsi="Times" w:cs="Times"/>
          <w:color w:val="FF0000"/>
        </w:rPr>
        <w:t xml:space="preserve"> </w:t>
      </w:r>
      <w:r>
        <w:rPr>
          <w:rFonts w:ascii="Times" w:eastAsia="Times" w:hAnsi="Times" w:cs="Times"/>
          <w:color w:val="000000"/>
        </w:rPr>
        <w:t>to the event date;</w:t>
      </w:r>
    </w:p>
    <w:p w14:paraId="2B824F7E" w14:textId="77777777" w:rsidR="007158DA" w:rsidRDefault="00B32EC7">
      <w:pPr>
        <w:numPr>
          <w:ilvl w:val="0"/>
          <w:numId w:val="2"/>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Funding applications will be reviewed </w:t>
      </w:r>
      <w:r>
        <w:rPr>
          <w:rFonts w:ascii="Times" w:eastAsia="Times" w:hAnsi="Times" w:cs="Times"/>
          <w:color w:val="FF0000"/>
          <w:u w:val="single"/>
        </w:rPr>
        <w:t>at weekly Executive Board meetings</w:t>
      </w:r>
      <w:r>
        <w:rPr>
          <w:rFonts w:ascii="Times" w:eastAsia="Times" w:hAnsi="Times" w:cs="Times"/>
          <w:color w:val="000000"/>
        </w:rPr>
        <w:t>;</w:t>
      </w:r>
    </w:p>
    <w:p w14:paraId="41305417" w14:textId="77777777" w:rsidR="007158DA" w:rsidRDefault="00B32EC7">
      <w:pPr>
        <w:numPr>
          <w:ilvl w:val="0"/>
          <w:numId w:val="2"/>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Funding decisions will be </w:t>
      </w:r>
      <w:r>
        <w:rPr>
          <w:rFonts w:ascii="Times" w:eastAsia="Times" w:hAnsi="Times" w:cs="Times"/>
          <w:color w:val="FF0000"/>
          <w:u w:val="single"/>
        </w:rPr>
        <w:t xml:space="preserve">communicated no more than </w:t>
      </w:r>
      <w:r>
        <w:rPr>
          <w:rFonts w:ascii="Times" w:eastAsia="Times" w:hAnsi="Times" w:cs="Times"/>
          <w:color w:val="FF0000"/>
          <w:u w:val="single"/>
        </w:rPr>
        <w:t>3 days</w:t>
      </w:r>
      <w:r>
        <w:rPr>
          <w:rFonts w:ascii="Times" w:eastAsia="Times" w:hAnsi="Times" w:cs="Times"/>
          <w:color w:val="FF0000"/>
          <w:u w:val="single"/>
        </w:rPr>
        <w:t xml:space="preserve"> after the Executive Board meeting at which the funding application was reviewed</w:t>
      </w:r>
      <w:r>
        <w:rPr>
          <w:rFonts w:ascii="Times" w:eastAsia="Times" w:hAnsi="Times" w:cs="Times"/>
          <w:color w:val="000000"/>
        </w:rPr>
        <w:t>;</w:t>
      </w:r>
    </w:p>
    <w:p w14:paraId="7616BC7C" w14:textId="77777777" w:rsidR="007158DA" w:rsidRDefault="00B32EC7">
      <w:pPr>
        <w:numPr>
          <w:ilvl w:val="0"/>
          <w:numId w:val="1"/>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Should the funding requ</w:t>
      </w:r>
      <w:r>
        <w:rPr>
          <w:rFonts w:ascii="Times" w:eastAsia="Times" w:hAnsi="Times" w:cs="Times"/>
          <w:color w:val="000000"/>
        </w:rPr>
        <w:t xml:space="preserve">est fail to meet requirements, </w:t>
      </w:r>
      <w:r>
        <w:rPr>
          <w:rFonts w:ascii="Times" w:eastAsia="Times" w:hAnsi="Times" w:cs="Times"/>
          <w:color w:val="FF0000"/>
          <w:u w:val="single"/>
        </w:rPr>
        <w:t>Umbrella</w:t>
      </w:r>
      <w:r>
        <w:rPr>
          <w:rFonts w:ascii="Times" w:eastAsia="Times" w:hAnsi="Times" w:cs="Times"/>
          <w:color w:val="FF0000"/>
        </w:rPr>
        <w:t xml:space="preserve"> </w:t>
      </w:r>
      <w:r>
        <w:rPr>
          <w:rFonts w:ascii="Times" w:eastAsia="Times" w:hAnsi="Times" w:cs="Times"/>
          <w:color w:val="000000"/>
        </w:rPr>
        <w:t>reserves the right to deny funding.</w:t>
      </w:r>
    </w:p>
    <w:p w14:paraId="6149E1D9" w14:textId="77777777" w:rsidR="007158DA" w:rsidRDefault="007158DA">
      <w:pPr>
        <w:spacing w:after="60"/>
        <w:rPr>
          <w:rFonts w:ascii="Times" w:eastAsia="Times" w:hAnsi="Times" w:cs="Times"/>
        </w:rPr>
      </w:pPr>
    </w:p>
    <w:p w14:paraId="6A6A24F6" w14:textId="77777777" w:rsidR="007158DA" w:rsidRDefault="00B32EC7">
      <w:pPr>
        <w:spacing w:after="120"/>
        <w:rPr>
          <w:rFonts w:ascii="Times" w:eastAsia="Times" w:hAnsi="Times" w:cs="Times"/>
          <w:b/>
          <w:sz w:val="30"/>
          <w:szCs w:val="30"/>
        </w:rPr>
      </w:pPr>
      <w:r>
        <w:rPr>
          <w:rFonts w:ascii="Times" w:eastAsia="Times" w:hAnsi="Times" w:cs="Times"/>
          <w:b/>
          <w:sz w:val="30"/>
          <w:szCs w:val="30"/>
        </w:rPr>
        <w:lastRenderedPageBreak/>
        <w:t>Post Approval</w:t>
      </w:r>
    </w:p>
    <w:p w14:paraId="0518D720" w14:textId="77777777" w:rsidR="007158DA" w:rsidRDefault="00B32EC7">
      <w:pPr>
        <w:spacing w:after="120"/>
        <w:rPr>
          <w:rFonts w:ascii="Times" w:eastAsia="Times" w:hAnsi="Times" w:cs="Times"/>
        </w:rPr>
      </w:pPr>
      <w:r>
        <w:rPr>
          <w:rFonts w:ascii="Times" w:eastAsia="Times" w:hAnsi="Times" w:cs="Times"/>
        </w:rPr>
        <w:t>Prior to event occurrence:</w:t>
      </w:r>
    </w:p>
    <w:p w14:paraId="25018D5D" w14:textId="77777777" w:rsidR="007158DA" w:rsidRDefault="00B32EC7">
      <w:pPr>
        <w:numPr>
          <w:ilvl w:val="0"/>
          <w:numId w:val="3"/>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Appropriately display GSG’s name and emblem, and </w:t>
      </w:r>
      <w:r>
        <w:rPr>
          <w:rFonts w:ascii="Times" w:eastAsia="Times" w:hAnsi="Times" w:cs="Times"/>
          <w:color w:val="FF0000"/>
          <w:u w:val="single"/>
        </w:rPr>
        <w:t>Umbrella’s</w:t>
      </w:r>
      <w:r>
        <w:rPr>
          <w:rFonts w:ascii="Times" w:eastAsia="Times" w:hAnsi="Times" w:cs="Times"/>
          <w:color w:val="FF0000"/>
        </w:rPr>
        <w:t xml:space="preserve"> </w:t>
      </w:r>
      <w:r>
        <w:rPr>
          <w:rFonts w:ascii="Times" w:eastAsia="Times" w:hAnsi="Times" w:cs="Times"/>
          <w:color w:val="000000"/>
        </w:rPr>
        <w:t xml:space="preserve">name and </w:t>
      </w:r>
      <w:r>
        <w:rPr>
          <w:rFonts w:ascii="Times" w:eastAsia="Times" w:hAnsi="Times" w:cs="Times"/>
          <w:color w:val="FF0000"/>
          <w:u w:val="single"/>
        </w:rPr>
        <w:t>emblem,</w:t>
      </w:r>
      <w:r>
        <w:rPr>
          <w:rFonts w:ascii="Times" w:eastAsia="Times" w:hAnsi="Times" w:cs="Times"/>
          <w:color w:val="FF0000"/>
        </w:rPr>
        <w:t xml:space="preserve"> </w:t>
      </w:r>
      <w:r>
        <w:rPr>
          <w:rFonts w:ascii="Times" w:eastAsia="Times" w:hAnsi="Times" w:cs="Times"/>
          <w:color w:val="000000"/>
        </w:rPr>
        <w:t>on all promotional materials for the event;</w:t>
      </w:r>
    </w:p>
    <w:p w14:paraId="4798FF1A" w14:textId="77777777" w:rsidR="007158DA" w:rsidRDefault="00B32EC7">
      <w:pPr>
        <w:numPr>
          <w:ilvl w:val="0"/>
          <w:numId w:val="3"/>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Promotional materials must be visible to all </w:t>
      </w:r>
      <w:r>
        <w:rPr>
          <w:rFonts w:ascii="Times" w:eastAsia="Times" w:hAnsi="Times" w:cs="Times"/>
          <w:color w:val="FF0000"/>
          <w:u w:val="single"/>
        </w:rPr>
        <w:t>Umbrella</w:t>
      </w:r>
      <w:r>
        <w:rPr>
          <w:rFonts w:ascii="Times" w:eastAsia="Times" w:hAnsi="Times" w:cs="Times"/>
          <w:color w:val="FF0000"/>
        </w:rPr>
        <w:t xml:space="preserve"> </w:t>
      </w:r>
      <w:r>
        <w:rPr>
          <w:rFonts w:ascii="Times" w:eastAsia="Times" w:hAnsi="Times" w:cs="Times"/>
          <w:color w:val="000000"/>
        </w:rPr>
        <w:t>members.</w:t>
      </w:r>
    </w:p>
    <w:p w14:paraId="537F6BE0" w14:textId="77777777" w:rsidR="007158DA" w:rsidRDefault="00B32EC7">
      <w:pPr>
        <w:numPr>
          <w:ilvl w:val="0"/>
          <w:numId w:val="3"/>
        </w:numPr>
        <w:pBdr>
          <w:top w:val="nil"/>
          <w:left w:val="nil"/>
          <w:bottom w:val="nil"/>
          <w:right w:val="nil"/>
          <w:between w:val="nil"/>
        </w:pBdr>
        <w:spacing w:after="120"/>
        <w:rPr>
          <w:rFonts w:ascii="Times" w:eastAsia="Times" w:hAnsi="Times" w:cs="Times"/>
          <w:color w:val="FF0000"/>
        </w:rPr>
      </w:pPr>
      <w:r>
        <w:rPr>
          <w:rFonts w:ascii="Times" w:eastAsia="Times" w:hAnsi="Times" w:cs="Times"/>
          <w:color w:val="FF0000"/>
          <w:u w:val="single"/>
        </w:rPr>
        <w:t>When applying through GSG, submit Umbrella’s written approval with your GSG application and be certain to follow GSG deadlines.</w:t>
      </w:r>
    </w:p>
    <w:p w14:paraId="5A5A4BA3" w14:textId="77777777" w:rsidR="007158DA" w:rsidRDefault="00B32EC7">
      <w:pPr>
        <w:spacing w:after="120"/>
        <w:rPr>
          <w:rFonts w:ascii="Times" w:eastAsia="Times" w:hAnsi="Times" w:cs="Times"/>
        </w:rPr>
      </w:pPr>
      <w:r>
        <w:rPr>
          <w:rFonts w:ascii="Times" w:eastAsia="Times" w:hAnsi="Times" w:cs="Times"/>
        </w:rPr>
        <w:t>After event occurrence:</w:t>
      </w:r>
    </w:p>
    <w:p w14:paraId="55148F32" w14:textId="77777777" w:rsidR="007158DA" w:rsidRDefault="00B32EC7">
      <w:pPr>
        <w:numPr>
          <w:ilvl w:val="0"/>
          <w:numId w:val="3"/>
        </w:num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Submit all required documentation to the </w:t>
      </w:r>
      <w:r>
        <w:rPr>
          <w:rFonts w:ascii="Times" w:eastAsia="Times" w:hAnsi="Times" w:cs="Times"/>
          <w:color w:val="FF0000"/>
          <w:u w:val="single"/>
        </w:rPr>
        <w:t>Treasurer/GSG Portal</w:t>
      </w:r>
      <w:r>
        <w:rPr>
          <w:rFonts w:ascii="Times" w:eastAsia="Times" w:hAnsi="Times" w:cs="Times"/>
          <w:color w:val="000000"/>
        </w:rPr>
        <w:t xml:space="preserve">. The applicant is responsible for ensuring the timely submission of all required documentation. </w:t>
      </w:r>
    </w:p>
    <w:p w14:paraId="10C648FC" w14:textId="77777777" w:rsidR="007158DA" w:rsidRDefault="007158DA">
      <w:pPr>
        <w:pBdr>
          <w:top w:val="nil"/>
          <w:left w:val="nil"/>
          <w:bottom w:val="nil"/>
          <w:right w:val="nil"/>
          <w:between w:val="nil"/>
        </w:pBdr>
        <w:spacing w:after="120"/>
        <w:rPr>
          <w:rFonts w:ascii="Times" w:eastAsia="Times" w:hAnsi="Times" w:cs="Times"/>
        </w:rPr>
      </w:pPr>
    </w:p>
    <w:sectPr w:rsidR="007158D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B594" w14:textId="77777777" w:rsidR="00B32EC7" w:rsidRDefault="00B32EC7">
      <w:r>
        <w:separator/>
      </w:r>
    </w:p>
  </w:endnote>
  <w:endnote w:type="continuationSeparator" w:id="0">
    <w:p w14:paraId="74AAAC9F" w14:textId="77777777" w:rsidR="00B32EC7" w:rsidRDefault="00B3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63CCA" w14:textId="77777777" w:rsidR="00B32EC7" w:rsidRDefault="00B32EC7">
      <w:r>
        <w:separator/>
      </w:r>
    </w:p>
  </w:footnote>
  <w:footnote w:type="continuationSeparator" w:id="0">
    <w:p w14:paraId="498B3DE9" w14:textId="77777777" w:rsidR="00B32EC7" w:rsidRDefault="00B32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FB55" w14:textId="77777777" w:rsidR="007158DA" w:rsidRDefault="00B32EC7">
    <w:pPr>
      <w:pBdr>
        <w:top w:val="nil"/>
        <w:left w:val="nil"/>
        <w:bottom w:val="nil"/>
        <w:right w:val="nil"/>
        <w:between w:val="nil"/>
      </w:pBdr>
      <w:tabs>
        <w:tab w:val="left" w:pos="720"/>
        <w:tab w:val="left" w:pos="1440"/>
        <w:tab w:val="left" w:pos="2160"/>
        <w:tab w:val="left" w:pos="2880"/>
        <w:tab w:val="left" w:pos="3600"/>
        <w:tab w:val="left" w:pos="4320"/>
        <w:tab w:val="left" w:pos="5040"/>
      </w:tabs>
      <w:rPr>
        <w:color w:val="000000"/>
      </w:rPr>
    </w:pPr>
    <w:r>
      <w:rPr>
        <w:color w:val="FF0000"/>
        <w:u w:val="single"/>
      </w:rPr>
      <w:t>Umbrella</w:t>
    </w:r>
    <w:r>
      <w:rPr>
        <w:color w:val="FF0000"/>
      </w:rPr>
      <w:t xml:space="preserve"> </w:t>
    </w:r>
    <w:r>
      <w:rPr>
        <w:color w:val="000000"/>
      </w:rPr>
      <w:t>–RSO Requests for Umbrella Funds</w:t>
    </w:r>
    <w:r>
      <w:rPr>
        <w:color w:val="000000"/>
      </w:rPr>
      <w:tab/>
    </w:r>
    <w:r>
      <w:rPr>
        <w:color w:val="000000"/>
      </w:rPr>
      <w:tab/>
    </w:r>
    <w:r>
      <w:rPr>
        <w:color w:val="000000"/>
      </w:rPr>
      <w:tab/>
    </w:r>
    <w:r>
      <w:rPr>
        <w:color w:val="000000"/>
      </w:rPr>
      <w:tab/>
    </w:r>
    <w:r>
      <w:rPr>
        <w:color w:val="000000"/>
      </w:rPr>
      <w:tab/>
      <w:t>July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2335"/>
    <w:multiLevelType w:val="multilevel"/>
    <w:tmpl w:val="BCD4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16660F"/>
    <w:multiLevelType w:val="multilevel"/>
    <w:tmpl w:val="0F708C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244D8B"/>
    <w:multiLevelType w:val="multilevel"/>
    <w:tmpl w:val="0C4C2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4782228"/>
    <w:multiLevelType w:val="multilevel"/>
    <w:tmpl w:val="47E21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8DA"/>
    <w:rsid w:val="007158DA"/>
    <w:rsid w:val="00B32EC7"/>
    <w:rsid w:val="00F7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21C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sgfinea@usc.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Macintosh Word</Application>
  <DocSecurity>0</DocSecurity>
  <Lines>18</Lines>
  <Paragraphs>5</Paragraphs>
  <ScaleCrop>false</ScaleCrop>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Aloia</cp:lastModifiedBy>
  <cp:revision>2</cp:revision>
  <dcterms:created xsi:type="dcterms:W3CDTF">2018-09-03T22:00:00Z</dcterms:created>
  <dcterms:modified xsi:type="dcterms:W3CDTF">2018-09-03T22:00:00Z</dcterms:modified>
</cp:coreProperties>
</file>